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99E0" w14:textId="6752A808" w:rsidR="001041E9" w:rsidRDefault="007D23B5" w:rsidP="001041E9">
      <w:pPr>
        <w:jc w:val="both"/>
        <w:rPr>
          <w:rFonts w:ascii="Arial Unicode MS" w:eastAsia="Arial Unicode MS" w:hAnsi="Arial Unicode MS" w:cs="Arial Unicode MS"/>
          <w:b/>
        </w:rPr>
      </w:pPr>
      <w:r w:rsidRPr="007D23B5">
        <w:rPr>
          <w:rFonts w:ascii="Arial Unicode MS" w:eastAsia="Arial Unicode MS" w:hAnsi="Arial Unicode MS" w:cs="Arial Unicode MS"/>
          <w:b/>
        </w:rPr>
        <w:t>DICTAMEN QUE EMITE LA DIRECCIÓN DE ASUNTOS JURÍDICOS DEL INSTITUTO DE ACCESO A LA INFORMACIÓN PÚBLICA Y PROTECCIÓN DE DATOS PERSONALES DEL ESTADO DE OAXACA, SOBRE LA PROCEDENCIA PARA LA INCORPORACIÓN DEL JARDÍN ETNOBOTÁNICO DE OAXACA, AL PADRÓN DE SUJETOS OBLIGADOS DE LA ENTIDAD.</w:t>
      </w:r>
    </w:p>
    <w:p w14:paraId="69051B30" w14:textId="03F0E9F1" w:rsidR="007D23B5" w:rsidRDefault="007D23B5" w:rsidP="001041E9">
      <w:pPr>
        <w:jc w:val="both"/>
        <w:rPr>
          <w:rFonts w:ascii="Arial Unicode MS" w:eastAsia="Arial Unicode MS" w:hAnsi="Arial Unicode MS" w:cs="Arial Unicode MS"/>
          <w:b/>
        </w:rPr>
      </w:pPr>
    </w:p>
    <w:p w14:paraId="4C4B6C6F" w14:textId="77777777" w:rsidR="007D23B5" w:rsidRPr="00EE0767" w:rsidRDefault="007D23B5" w:rsidP="001041E9">
      <w:pPr>
        <w:jc w:val="both"/>
        <w:rPr>
          <w:rFonts w:ascii="Arial Unicode MS" w:eastAsia="Arial Unicode MS" w:hAnsi="Arial Unicode MS" w:cs="Arial Unicode MS"/>
          <w:b/>
        </w:rPr>
      </w:pPr>
    </w:p>
    <w:p w14:paraId="2FC715F2" w14:textId="4C454419" w:rsidR="001041E9" w:rsidRDefault="001041E9" w:rsidP="001041E9">
      <w:pPr>
        <w:jc w:val="both"/>
        <w:rPr>
          <w:rFonts w:ascii="Arial Unicode MS" w:eastAsia="Arial Unicode MS" w:hAnsi="Arial Unicode MS" w:cs="Arial Unicode MS"/>
        </w:rPr>
      </w:pPr>
      <w:r w:rsidRPr="00EE0767">
        <w:rPr>
          <w:rFonts w:ascii="Arial Unicode MS" w:eastAsia="Arial Unicode MS" w:hAnsi="Arial Unicode MS" w:cs="Arial Unicode MS"/>
        </w:rPr>
        <w:t xml:space="preserve">Con fundamento en lo dispuesto </w:t>
      </w:r>
      <w:r w:rsidRPr="00B37E6F">
        <w:rPr>
          <w:rFonts w:ascii="Arial Unicode MS" w:eastAsia="Arial Unicode MS" w:hAnsi="Arial Unicode MS" w:cs="Arial Unicode MS"/>
        </w:rPr>
        <w:t>por el inciso c), fracción I del artículo 1</w:t>
      </w:r>
      <w:r w:rsidR="00B37E6F" w:rsidRPr="00B37E6F">
        <w:rPr>
          <w:rFonts w:ascii="Arial Unicode MS" w:eastAsia="Arial Unicode MS" w:hAnsi="Arial Unicode MS" w:cs="Arial Unicode MS"/>
        </w:rPr>
        <w:t>3</w:t>
      </w:r>
      <w:r w:rsidRPr="00B37E6F">
        <w:rPr>
          <w:rFonts w:ascii="Arial Unicode MS" w:eastAsia="Arial Unicode MS" w:hAnsi="Arial Unicode MS" w:cs="Arial Unicode MS"/>
        </w:rPr>
        <w:t xml:space="preserve"> del</w:t>
      </w:r>
      <w:r w:rsidRPr="00EE0767">
        <w:rPr>
          <w:rFonts w:ascii="Arial Unicode MS" w:eastAsia="Arial Unicode MS" w:hAnsi="Arial Unicode MS" w:cs="Arial Unicode MS"/>
        </w:rPr>
        <w:t xml:space="preserve"> Reglamento Interior </w:t>
      </w:r>
      <w:r>
        <w:rPr>
          <w:rFonts w:ascii="Arial Unicode MS" w:eastAsia="Arial Unicode MS" w:hAnsi="Arial Unicode MS" w:cs="Arial Unicode MS"/>
        </w:rPr>
        <w:t>del</w:t>
      </w:r>
      <w:r w:rsidRPr="00EE0767">
        <w:rPr>
          <w:rFonts w:ascii="Arial Unicode MS" w:eastAsia="Arial Unicode MS" w:hAnsi="Arial Unicode MS" w:cs="Arial Unicode MS"/>
        </w:rPr>
        <w:t xml:space="preserve"> Instituto de Acceso a la Información Pública y Protección de Datos Personales del Estado de Oaxaca, y, al acuerdo dictado por el Consejo General del Órgano Garante en la segunda sesión ordinaria 2017, celebrada el tres de febrero del dos mil diecisiete, publicado el dieciocho del mismo mes y año en el Periódico Oficial del Gobierno del Estado, se emite el presente documento, tomando en consideración los siguientes:</w:t>
      </w:r>
    </w:p>
    <w:p w14:paraId="76D1C397" w14:textId="77777777" w:rsidR="00996577" w:rsidRPr="00EE0767" w:rsidRDefault="00996577" w:rsidP="001041E9">
      <w:pPr>
        <w:jc w:val="both"/>
        <w:rPr>
          <w:rFonts w:ascii="Arial Unicode MS" w:eastAsia="Arial Unicode MS" w:hAnsi="Arial Unicode MS" w:cs="Arial Unicode MS"/>
        </w:rPr>
      </w:pPr>
    </w:p>
    <w:p w14:paraId="03A1AA27" w14:textId="77777777" w:rsidR="001041E9" w:rsidRPr="00EE0767" w:rsidRDefault="001041E9" w:rsidP="001041E9">
      <w:pPr>
        <w:jc w:val="center"/>
        <w:rPr>
          <w:rFonts w:ascii="Arial Unicode MS" w:eastAsia="Arial Unicode MS" w:hAnsi="Arial Unicode MS" w:cs="Arial Unicode MS"/>
          <w:lang w:val="es-ES"/>
        </w:rPr>
      </w:pPr>
    </w:p>
    <w:p w14:paraId="6C094759" w14:textId="77777777" w:rsidR="001041E9" w:rsidRDefault="001041E9" w:rsidP="001041E9">
      <w:pPr>
        <w:jc w:val="center"/>
        <w:rPr>
          <w:rFonts w:ascii="Arial Unicode MS" w:eastAsia="Arial Unicode MS" w:hAnsi="Arial Unicode MS" w:cs="Arial Unicode MS"/>
          <w:b/>
          <w:lang w:val="es-ES"/>
        </w:rPr>
      </w:pPr>
      <w:r w:rsidRPr="00EE0767">
        <w:rPr>
          <w:rFonts w:ascii="Arial Unicode MS" w:eastAsia="Arial Unicode MS" w:hAnsi="Arial Unicode MS" w:cs="Arial Unicode MS"/>
          <w:b/>
          <w:lang w:val="es-ES"/>
        </w:rPr>
        <w:t>A N T E C E D E N T E S</w:t>
      </w:r>
    </w:p>
    <w:p w14:paraId="684978A8" w14:textId="77777777" w:rsidR="00996577" w:rsidRPr="00EE0767" w:rsidRDefault="00996577" w:rsidP="001041E9">
      <w:pPr>
        <w:jc w:val="center"/>
        <w:rPr>
          <w:rFonts w:ascii="Arial Unicode MS" w:eastAsia="Arial Unicode MS" w:hAnsi="Arial Unicode MS" w:cs="Arial Unicode MS"/>
          <w:b/>
        </w:rPr>
      </w:pPr>
    </w:p>
    <w:p w14:paraId="3B030F7A" w14:textId="77777777" w:rsidR="001041E9" w:rsidRPr="00EE0767" w:rsidRDefault="001041E9" w:rsidP="001041E9">
      <w:pPr>
        <w:jc w:val="both"/>
        <w:rPr>
          <w:rFonts w:ascii="Arial Unicode MS" w:eastAsia="Arial Unicode MS" w:hAnsi="Arial Unicode MS" w:cs="Arial Unicode MS"/>
        </w:rPr>
      </w:pPr>
    </w:p>
    <w:p w14:paraId="7F7595C1" w14:textId="77777777" w:rsidR="001041E9" w:rsidRDefault="001041E9" w:rsidP="001041E9">
      <w:pPr>
        <w:jc w:val="both"/>
        <w:rPr>
          <w:rFonts w:ascii="Arial Unicode MS" w:eastAsia="Arial Unicode MS" w:hAnsi="Arial Unicode MS" w:cs="Arial Unicode MS"/>
        </w:rPr>
      </w:pPr>
      <w:r w:rsidRPr="00EE0767">
        <w:rPr>
          <w:rFonts w:ascii="Arial Unicode MS" w:eastAsia="Arial Unicode MS" w:hAnsi="Arial Unicode MS" w:cs="Arial Unicode MS"/>
          <w:b/>
        </w:rPr>
        <w:t>ÚNICO</w:t>
      </w:r>
      <w:r w:rsidRPr="00EE0767">
        <w:rPr>
          <w:rFonts w:ascii="Arial Unicode MS" w:eastAsia="Arial Unicode MS" w:hAnsi="Arial Unicode MS" w:cs="Arial Unicode MS"/>
        </w:rPr>
        <w:t>. Mediante oficio</w:t>
      </w:r>
      <w:r>
        <w:rPr>
          <w:rFonts w:ascii="Arial Unicode MS" w:eastAsia="Arial Unicode MS" w:hAnsi="Arial Unicode MS" w:cs="Arial Unicode MS"/>
        </w:rPr>
        <w:t xml:space="preserve"> número SA/UT/416/2020, de fecha veintitrés de octubre de dos mil veinte,  y suscrito por el Licenciado Carlos Alberto Meixueiro Ruiz, Director Jurídico y Titular de la Unidad de Transparencia de la Secretaría de Administración, hizo del conocimiento a esta Dirección de Asuntos Jurídicos mediante correo electrónico el decreto de creación del Órgano Desconcentrado “Jardín Etnobotánico de Oaxaca”, publicado en el Periódico Oficial del Estado, de fecha dieciocho de noviembre de dos mil diecisiete, razón por la cual, solicitó se le incluya en el Padrón de Sujetos Obligados de la Entidad</w:t>
      </w:r>
      <w:r w:rsidRPr="00EE0767">
        <w:rPr>
          <w:rFonts w:ascii="Arial Unicode MS" w:eastAsia="Arial Unicode MS" w:hAnsi="Arial Unicode MS" w:cs="Arial Unicode MS"/>
        </w:rPr>
        <w:t>; por lo que,</w:t>
      </w:r>
      <w:r>
        <w:rPr>
          <w:rFonts w:ascii="Arial Unicode MS" w:eastAsia="Arial Unicode MS" w:hAnsi="Arial Unicode MS" w:cs="Arial Unicode MS"/>
        </w:rPr>
        <w:t xml:space="preserve"> </w:t>
      </w:r>
    </w:p>
    <w:p w14:paraId="5CFF1688" w14:textId="77777777" w:rsidR="001041E9" w:rsidRDefault="001041E9" w:rsidP="001041E9">
      <w:pPr>
        <w:contextualSpacing/>
        <w:jc w:val="both"/>
        <w:rPr>
          <w:rFonts w:ascii="Arial Unicode MS" w:eastAsia="Arial Unicode MS" w:hAnsi="Arial Unicode MS" w:cs="Arial Unicode MS"/>
        </w:rPr>
      </w:pPr>
    </w:p>
    <w:p w14:paraId="65A6A829" w14:textId="77777777" w:rsidR="00996577" w:rsidRPr="00EE0767" w:rsidRDefault="00996577" w:rsidP="001041E9">
      <w:pPr>
        <w:contextualSpacing/>
        <w:jc w:val="both"/>
        <w:rPr>
          <w:rFonts w:ascii="Arial Unicode MS" w:eastAsia="Arial Unicode MS" w:hAnsi="Arial Unicode MS" w:cs="Arial Unicode MS"/>
        </w:rPr>
      </w:pPr>
    </w:p>
    <w:p w14:paraId="41103E57" w14:textId="77777777" w:rsidR="001041E9" w:rsidRDefault="001041E9" w:rsidP="001041E9">
      <w:pPr>
        <w:jc w:val="center"/>
        <w:rPr>
          <w:rFonts w:ascii="Arial Unicode MS" w:eastAsia="Arial Unicode MS" w:hAnsi="Arial Unicode MS" w:cs="Arial Unicode MS"/>
          <w:b/>
        </w:rPr>
      </w:pPr>
      <w:r w:rsidRPr="00EE0767">
        <w:rPr>
          <w:rFonts w:ascii="Arial Unicode MS" w:eastAsia="Arial Unicode MS" w:hAnsi="Arial Unicode MS" w:cs="Arial Unicode MS"/>
          <w:b/>
        </w:rPr>
        <w:t>C O N S I D E R A N D O</w:t>
      </w:r>
    </w:p>
    <w:p w14:paraId="458E12A6" w14:textId="77777777" w:rsidR="00996577" w:rsidRPr="00EE0767" w:rsidRDefault="00996577" w:rsidP="001041E9">
      <w:pPr>
        <w:jc w:val="center"/>
        <w:rPr>
          <w:rFonts w:ascii="Arial Unicode MS" w:eastAsia="Arial Unicode MS" w:hAnsi="Arial Unicode MS" w:cs="Arial Unicode MS"/>
          <w:b/>
        </w:rPr>
      </w:pPr>
    </w:p>
    <w:p w14:paraId="27346EC4" w14:textId="77777777" w:rsidR="001041E9" w:rsidRPr="00EE0767" w:rsidRDefault="001041E9" w:rsidP="001041E9">
      <w:pPr>
        <w:jc w:val="both"/>
        <w:rPr>
          <w:rFonts w:ascii="Arial Unicode MS" w:eastAsia="Arial Unicode MS" w:hAnsi="Arial Unicode MS" w:cs="Arial Unicode MS"/>
        </w:rPr>
      </w:pPr>
    </w:p>
    <w:p w14:paraId="218A22E8" w14:textId="77777777" w:rsidR="001041E9" w:rsidRPr="00EE0767" w:rsidRDefault="001041E9" w:rsidP="001041E9">
      <w:pPr>
        <w:tabs>
          <w:tab w:val="left" w:pos="567"/>
        </w:tabs>
        <w:jc w:val="both"/>
        <w:rPr>
          <w:rFonts w:ascii="Arial Unicode MS" w:eastAsia="Arial Unicode MS" w:hAnsi="Arial Unicode MS" w:cs="Arial Unicode MS"/>
          <w:lang w:val="es-ES" w:eastAsia="es-ES"/>
        </w:rPr>
      </w:pPr>
      <w:r w:rsidRPr="00EE0767">
        <w:rPr>
          <w:rFonts w:ascii="Arial Unicode MS" w:eastAsia="Arial Unicode MS" w:hAnsi="Arial Unicode MS" w:cs="Arial Unicode MS"/>
          <w:b/>
          <w:lang w:val="es-ES" w:eastAsia="es-ES"/>
        </w:rPr>
        <w:t>I.</w:t>
      </w:r>
      <w:r w:rsidRPr="00EE0767">
        <w:rPr>
          <w:rFonts w:ascii="Arial Unicode MS" w:eastAsia="Arial Unicode MS" w:hAnsi="Arial Unicode MS" w:cs="Arial Unicode MS"/>
          <w:lang w:val="es-ES" w:eastAsia="es-ES"/>
        </w:rPr>
        <w:t xml:space="preserve"> </w:t>
      </w:r>
      <w:r w:rsidRPr="00EE0767">
        <w:rPr>
          <w:rFonts w:ascii="Arial Unicode MS" w:eastAsia="Arial Unicode MS" w:hAnsi="Arial Unicode MS" w:cs="Arial Unicode MS"/>
        </w:rPr>
        <w:t xml:space="preserve">Que la Ley General de Transparencia y Acceso a la Información Pública establece en su artículo 23, que son Sujetos obligados a transparentar y permitir el acceso a la información que obre en su poder, cualquier autoridad, </w:t>
      </w:r>
      <w:r w:rsidRPr="00EE0767">
        <w:rPr>
          <w:rFonts w:ascii="Arial Unicode MS" w:eastAsia="Arial Unicode MS" w:hAnsi="Arial Unicode MS" w:cs="Arial Unicode MS"/>
        </w:rPr>
        <w:lastRenderedPageBreak/>
        <w:t>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p>
    <w:p w14:paraId="4B69DF9E" w14:textId="77777777" w:rsidR="001041E9" w:rsidRPr="00EE0767" w:rsidRDefault="001041E9" w:rsidP="001041E9">
      <w:pPr>
        <w:jc w:val="both"/>
        <w:rPr>
          <w:rFonts w:ascii="Arial Unicode MS" w:eastAsia="Arial Unicode MS" w:hAnsi="Arial Unicode MS" w:cs="Arial Unicode MS"/>
        </w:rPr>
      </w:pPr>
    </w:p>
    <w:p w14:paraId="37B49939" w14:textId="77777777" w:rsidR="001041E9" w:rsidRPr="00EE0767" w:rsidRDefault="001041E9" w:rsidP="001041E9">
      <w:pPr>
        <w:jc w:val="both"/>
        <w:rPr>
          <w:rFonts w:ascii="Arial Unicode MS" w:eastAsia="Arial Unicode MS" w:hAnsi="Arial Unicode MS" w:cs="Arial Unicode MS"/>
        </w:rPr>
      </w:pPr>
      <w:r w:rsidRPr="00EE0767">
        <w:rPr>
          <w:rFonts w:ascii="Arial Unicode MS" w:eastAsia="Arial Unicode MS" w:hAnsi="Arial Unicode MS" w:cs="Arial Unicode MS"/>
          <w:b/>
        </w:rPr>
        <w:t>II.</w:t>
      </w:r>
      <w:r w:rsidRPr="00EE0767">
        <w:rPr>
          <w:rFonts w:ascii="Arial Unicode MS" w:eastAsia="Arial Unicode MS" w:hAnsi="Arial Unicode MS" w:cs="Arial Unicode MS"/>
        </w:rPr>
        <w:t xml:space="preserve"> Que la Ley de Transparencia y Acceso a la Información Pública para el Estado de Oaxaca en vigor, por su parte, establece en su artículo 7, que revisten la calidad de Sujetos obligados el Poder Ejecutivo del Estado: el Poder Judicial del Estado; el Poder Legislativo del Estado y la Auditoría Superior del Estado; los Ayuntamientos y la Administración Pública Municipal; los organismos descentralizados y desconcentrados de la Administración Pública Estatal y Municipal, así como las empresas de participación estatal o municipal; las Juntas en Materia del Trabajo; las universidades públicas, e instituciones de educación superior públicas; los partidos políticos y agrupaciones políticas; los sindicatos que reciban y/o ejerzan recursos públicos en el ámbito estatal y municipal; los fideicomisos y fondos públicos que cuenten con financiamiento público, parcial o total, con participación de entidades de gobierno; las organizaciones de la sociedad civil que reciban y/o ejerzan recursos públicos en el ámbito estatal y municipal, y las instituciones de beneficencia que sean constituidas conforme a la ley de la materia, siendo incluidos los órganos y dependencias de los Poderes Ejecutivo, Legislativo y Judicial, y de los Ayuntamientos cualquiera que sea su denominación y aquellos que la legislación les reconozca como de interés público.</w:t>
      </w:r>
    </w:p>
    <w:p w14:paraId="2666FDF8" w14:textId="77777777" w:rsidR="001041E9" w:rsidRPr="00EE0767" w:rsidRDefault="001041E9" w:rsidP="001041E9">
      <w:pPr>
        <w:jc w:val="both"/>
        <w:rPr>
          <w:rFonts w:ascii="Arial Unicode MS" w:eastAsia="Arial Unicode MS" w:hAnsi="Arial Unicode MS" w:cs="Arial Unicode MS"/>
        </w:rPr>
      </w:pPr>
    </w:p>
    <w:p w14:paraId="5829D9E6" w14:textId="77777777" w:rsidR="001041E9" w:rsidRPr="00EE0767" w:rsidRDefault="001041E9" w:rsidP="001041E9">
      <w:pPr>
        <w:jc w:val="both"/>
        <w:rPr>
          <w:rFonts w:ascii="Arial Unicode MS" w:eastAsia="Arial Unicode MS" w:hAnsi="Arial Unicode MS" w:cs="Arial Unicode MS"/>
        </w:rPr>
      </w:pPr>
      <w:r w:rsidRPr="00EE0767">
        <w:rPr>
          <w:rFonts w:ascii="Arial Unicode MS" w:eastAsia="Arial Unicode MS" w:hAnsi="Arial Unicode MS" w:cs="Arial Unicode MS"/>
          <w:b/>
        </w:rPr>
        <w:t>III</w:t>
      </w:r>
      <w:r w:rsidRPr="00EE0767">
        <w:rPr>
          <w:rFonts w:ascii="Arial Unicode MS" w:eastAsia="Arial Unicode MS" w:hAnsi="Arial Unicode MS" w:cs="Arial Unicode MS"/>
        </w:rPr>
        <w:t>. Que del contenido de los considerandos plasmados con antelación, debe destacarse que son sujetos obligados a transparentar, rendir cuentas y permitir el acceso a la información, aquellos que tienen cualquiera de las siguientes cualidades:</w:t>
      </w:r>
    </w:p>
    <w:p w14:paraId="58993F58" w14:textId="77777777" w:rsidR="001041E9" w:rsidRPr="00EE0767" w:rsidRDefault="001041E9" w:rsidP="001041E9">
      <w:pPr>
        <w:jc w:val="both"/>
        <w:rPr>
          <w:rFonts w:ascii="Arial Unicode MS" w:eastAsia="Arial Unicode MS" w:hAnsi="Arial Unicode MS" w:cs="Arial Unicode MS"/>
        </w:rPr>
      </w:pPr>
    </w:p>
    <w:p w14:paraId="0A1FF74D" w14:textId="77777777" w:rsidR="001041E9" w:rsidRPr="00EE0767" w:rsidRDefault="001041E9" w:rsidP="001041E9">
      <w:pPr>
        <w:numPr>
          <w:ilvl w:val="0"/>
          <w:numId w:val="1"/>
        </w:numPr>
        <w:contextualSpacing/>
        <w:jc w:val="both"/>
        <w:rPr>
          <w:rFonts w:ascii="Arial Unicode MS" w:eastAsia="Arial Unicode MS" w:hAnsi="Arial Unicode MS" w:cs="Arial Unicode MS"/>
        </w:rPr>
      </w:pPr>
      <w:r w:rsidRPr="00EE0767">
        <w:rPr>
          <w:rFonts w:ascii="Arial Unicode MS" w:eastAsia="Arial Unicode MS" w:hAnsi="Arial Unicode MS" w:cs="Arial Unicode MS"/>
        </w:rPr>
        <w:t>Recibir y/o ejercer recursos públicos, y</w:t>
      </w:r>
    </w:p>
    <w:p w14:paraId="075F00C5" w14:textId="77777777" w:rsidR="001041E9" w:rsidRPr="00EE0767" w:rsidRDefault="001041E9" w:rsidP="001041E9">
      <w:pPr>
        <w:numPr>
          <w:ilvl w:val="0"/>
          <w:numId w:val="1"/>
        </w:numPr>
        <w:contextualSpacing/>
        <w:jc w:val="both"/>
        <w:rPr>
          <w:rFonts w:ascii="Arial Unicode MS" w:eastAsia="Arial Unicode MS" w:hAnsi="Arial Unicode MS" w:cs="Arial Unicode MS"/>
        </w:rPr>
      </w:pPr>
      <w:r w:rsidRPr="00EE0767">
        <w:rPr>
          <w:rFonts w:ascii="Arial Unicode MS" w:eastAsia="Arial Unicode MS" w:hAnsi="Arial Unicode MS" w:cs="Arial Unicode MS"/>
        </w:rPr>
        <w:t>Realizar actos de autoridad.</w:t>
      </w:r>
    </w:p>
    <w:p w14:paraId="62AD3718" w14:textId="77777777" w:rsidR="001041E9" w:rsidRPr="00EE0767" w:rsidRDefault="001041E9" w:rsidP="001041E9">
      <w:pPr>
        <w:jc w:val="both"/>
        <w:rPr>
          <w:rFonts w:ascii="Arial Unicode MS" w:eastAsia="Arial Unicode MS" w:hAnsi="Arial Unicode MS" w:cs="Arial Unicode MS"/>
        </w:rPr>
      </w:pPr>
      <w:r w:rsidRPr="00EE0767">
        <w:rPr>
          <w:rFonts w:ascii="Arial Unicode MS" w:eastAsia="Arial Unicode MS" w:hAnsi="Arial Unicode MS" w:cs="Arial Unicode MS"/>
        </w:rPr>
        <w:t xml:space="preserve"> </w:t>
      </w:r>
    </w:p>
    <w:p w14:paraId="2A277008" w14:textId="743154A5" w:rsidR="001041E9" w:rsidRPr="00EE0767" w:rsidRDefault="001041E9" w:rsidP="001041E9">
      <w:pPr>
        <w:jc w:val="both"/>
        <w:rPr>
          <w:rFonts w:ascii="Arial Unicode MS" w:eastAsia="Arial Unicode MS" w:hAnsi="Arial Unicode MS" w:cs="Arial Unicode MS"/>
        </w:rPr>
      </w:pPr>
      <w:r w:rsidRPr="00EE0767">
        <w:rPr>
          <w:rFonts w:ascii="Arial Unicode MS" w:eastAsia="Arial Unicode MS" w:hAnsi="Arial Unicode MS" w:cs="Arial Unicode MS"/>
          <w:b/>
        </w:rPr>
        <w:t>IV.</w:t>
      </w:r>
      <w:r w:rsidRPr="00EE0767">
        <w:rPr>
          <w:rFonts w:ascii="Arial Unicode MS" w:eastAsia="Arial Unicode MS" w:hAnsi="Arial Unicode MS" w:cs="Arial Unicode MS"/>
        </w:rPr>
        <w:t xml:space="preserve"> </w:t>
      </w:r>
      <w:r w:rsidRPr="00101F65">
        <w:rPr>
          <w:rFonts w:ascii="Arial Unicode MS" w:eastAsia="Arial Unicode MS" w:hAnsi="Arial Unicode MS" w:cs="Arial Unicode MS"/>
        </w:rPr>
        <w:t>Que con fecha quince de julio del año dos mil dieciséis,</w:t>
      </w:r>
      <w:r>
        <w:rPr>
          <w:rFonts w:ascii="Arial Unicode MS" w:eastAsia="Arial Unicode MS" w:hAnsi="Arial Unicode MS" w:cs="Arial Unicode MS"/>
        </w:rPr>
        <w:t xml:space="preserve"> fue aprobado por el Consejo General del Órgano garante, el</w:t>
      </w:r>
      <w:r w:rsidRPr="00EE0767">
        <w:rPr>
          <w:rFonts w:ascii="Arial Unicode MS" w:eastAsia="Arial Unicode MS" w:hAnsi="Arial Unicode MS" w:cs="Arial Unicode MS"/>
        </w:rPr>
        <w:t xml:space="preserve"> padrón oficial de sujetos obligados a transparentar</w:t>
      </w:r>
      <w:r>
        <w:rPr>
          <w:rFonts w:ascii="Arial Unicode MS" w:eastAsia="Arial Unicode MS" w:hAnsi="Arial Unicode MS" w:cs="Arial Unicode MS"/>
        </w:rPr>
        <w:t xml:space="preserve">, permitir el acceso a su información y proteger datos </w:t>
      </w:r>
      <w:r>
        <w:rPr>
          <w:rFonts w:ascii="Arial Unicode MS" w:eastAsia="Arial Unicode MS" w:hAnsi="Arial Unicode MS" w:cs="Arial Unicode MS"/>
        </w:rPr>
        <w:lastRenderedPageBreak/>
        <w:t>personales en su posesión</w:t>
      </w:r>
      <w:r w:rsidRPr="00EE0767">
        <w:rPr>
          <w:rFonts w:ascii="Arial Unicode MS" w:eastAsia="Arial Unicode MS" w:hAnsi="Arial Unicode MS" w:cs="Arial Unicode MS"/>
        </w:rPr>
        <w:t xml:space="preserve">, acorde a lo establecido por la Ley General de Transparencia y Acceso a la Información Pública, y, la Ley de Transparencia y Acceso a la Información Pública para el Estado de Oaxaca, </w:t>
      </w:r>
      <w:r>
        <w:rPr>
          <w:rFonts w:ascii="Arial Unicode MS" w:eastAsia="Arial Unicode MS" w:hAnsi="Arial Unicode MS" w:cs="Arial Unicode MS"/>
        </w:rPr>
        <w:t xml:space="preserve">que en </w:t>
      </w:r>
      <w:r w:rsidRPr="00323521">
        <w:rPr>
          <w:rFonts w:ascii="Arial Unicode MS" w:eastAsia="Arial Unicode MS" w:hAnsi="Arial Unicode MS" w:cs="Arial Unicode MS"/>
        </w:rPr>
        <w:t>el caso en p</w:t>
      </w:r>
      <w:r>
        <w:rPr>
          <w:rFonts w:ascii="Arial Unicode MS" w:eastAsia="Arial Unicode MS" w:hAnsi="Arial Unicode MS" w:cs="Arial Unicode MS"/>
        </w:rPr>
        <w:t xml:space="preserve">articular no aparece incorporado el </w:t>
      </w:r>
      <w:r w:rsidR="008A283F">
        <w:rPr>
          <w:rFonts w:ascii="Arial Unicode MS" w:eastAsia="Arial Unicode MS" w:hAnsi="Arial Unicode MS" w:cs="Arial Unicode MS"/>
        </w:rPr>
        <w:t>“</w:t>
      </w:r>
      <w:r>
        <w:rPr>
          <w:rFonts w:ascii="Arial Unicode MS" w:eastAsia="Arial Unicode MS" w:hAnsi="Arial Unicode MS" w:cs="Arial Unicode MS"/>
        </w:rPr>
        <w:t>Jardín Etnobotánico</w:t>
      </w:r>
      <w:r w:rsidR="008A283F">
        <w:rPr>
          <w:rFonts w:ascii="Arial Unicode MS" w:eastAsia="Arial Unicode MS" w:hAnsi="Arial Unicode MS" w:cs="Arial Unicode MS"/>
        </w:rPr>
        <w:t xml:space="preserve"> de Oaxaca”</w:t>
      </w:r>
      <w:r>
        <w:rPr>
          <w:rFonts w:ascii="Arial Unicode MS" w:eastAsia="Arial Unicode MS" w:hAnsi="Arial Unicode MS" w:cs="Arial Unicode MS"/>
        </w:rPr>
        <w:t>,</w:t>
      </w:r>
      <w:r w:rsidRPr="00EE0767">
        <w:rPr>
          <w:rFonts w:ascii="Arial Unicode MS" w:eastAsia="Arial Unicode MS" w:hAnsi="Arial Unicode MS" w:cs="Arial Unicode MS"/>
        </w:rPr>
        <w:t xml:space="preserve"> como sujeto obligado.</w:t>
      </w:r>
    </w:p>
    <w:p w14:paraId="4601B45A" w14:textId="77777777" w:rsidR="001041E9" w:rsidRPr="00EE0767" w:rsidRDefault="001041E9" w:rsidP="001041E9">
      <w:pPr>
        <w:jc w:val="both"/>
        <w:rPr>
          <w:rFonts w:ascii="Arial Unicode MS" w:eastAsia="Arial Unicode MS" w:hAnsi="Arial Unicode MS" w:cs="Arial Unicode MS"/>
        </w:rPr>
      </w:pPr>
    </w:p>
    <w:p w14:paraId="4A70CB8B" w14:textId="77777777" w:rsidR="001041E9" w:rsidRPr="00EE0767" w:rsidRDefault="001041E9" w:rsidP="001041E9">
      <w:pPr>
        <w:tabs>
          <w:tab w:val="left" w:pos="851"/>
        </w:tabs>
        <w:jc w:val="both"/>
        <w:rPr>
          <w:rFonts w:ascii="Arial Unicode MS" w:eastAsia="Arial Unicode MS" w:hAnsi="Arial Unicode MS" w:cs="Arial Unicode MS"/>
          <w:lang w:val="es-ES" w:eastAsia="es-ES"/>
        </w:rPr>
      </w:pPr>
      <w:r w:rsidRPr="00EE0767">
        <w:rPr>
          <w:rFonts w:ascii="Arial Unicode MS" w:eastAsia="Arial Unicode MS" w:hAnsi="Arial Unicode MS" w:cs="Arial Unicode MS"/>
          <w:b/>
          <w:lang w:val="es-ES" w:eastAsia="es-ES"/>
        </w:rPr>
        <w:t>V.</w:t>
      </w:r>
      <w:r w:rsidRPr="00EE0767">
        <w:rPr>
          <w:rFonts w:ascii="Arial Unicode MS" w:eastAsia="Arial Unicode MS" w:hAnsi="Arial Unicode MS" w:cs="Arial Unicode MS"/>
          <w:lang w:val="es-ES" w:eastAsia="es-ES"/>
        </w:rPr>
        <w:t xml:space="preserve"> Que en virtud de las competencias que tiene el Consejo General, a efecto de brindar certeza jurídica, resulta relevante actualizar de manera constante el listado de los responsables en cumplir con las disposiciones establecidas en las leyes de la materia, es decir, a los sujetos obligados ante quienes los particulares pueden ejercer su derecho de acceso a la información, o bien, en dónde pueden localizar la información que sea de su interés.</w:t>
      </w:r>
    </w:p>
    <w:p w14:paraId="643D6E15" w14:textId="77777777" w:rsidR="001041E9" w:rsidRPr="00EE0767" w:rsidRDefault="001041E9" w:rsidP="001041E9">
      <w:pPr>
        <w:tabs>
          <w:tab w:val="left" w:pos="851"/>
        </w:tabs>
        <w:jc w:val="both"/>
        <w:rPr>
          <w:rFonts w:ascii="Arial Unicode MS" w:eastAsia="Arial Unicode MS" w:hAnsi="Arial Unicode MS" w:cs="Arial Unicode MS"/>
          <w:lang w:val="es-ES" w:eastAsia="es-ES"/>
        </w:rPr>
      </w:pPr>
    </w:p>
    <w:p w14:paraId="23B50C9F" w14:textId="63D13B39" w:rsidR="001041E9" w:rsidRPr="00F043EC" w:rsidRDefault="001041E9" w:rsidP="001041E9">
      <w:pPr>
        <w:tabs>
          <w:tab w:val="left" w:pos="0"/>
        </w:tabs>
        <w:jc w:val="both"/>
        <w:rPr>
          <w:rFonts w:ascii="Arial Unicode MS" w:eastAsia="Arial Unicode MS" w:hAnsi="Arial Unicode MS" w:cs="Arial Unicode MS"/>
        </w:rPr>
      </w:pPr>
      <w:r w:rsidRPr="00EE0767">
        <w:rPr>
          <w:rFonts w:ascii="Arial Unicode MS" w:eastAsia="Arial Unicode MS" w:hAnsi="Arial Unicode MS" w:cs="Arial Unicode MS"/>
          <w:b/>
          <w:lang w:val="es-ES" w:eastAsia="es-ES"/>
        </w:rPr>
        <w:t xml:space="preserve">VI. </w:t>
      </w:r>
      <w:r w:rsidRPr="00EE0767">
        <w:rPr>
          <w:rFonts w:ascii="Arial Unicode MS" w:eastAsia="Arial Unicode MS" w:hAnsi="Arial Unicode MS" w:cs="Arial Unicode MS"/>
          <w:lang w:val="es-ES" w:eastAsia="es-ES"/>
        </w:rPr>
        <w:t>Que del análisis de</w:t>
      </w:r>
      <w:r>
        <w:rPr>
          <w:rFonts w:ascii="Arial Unicode MS" w:eastAsia="Arial Unicode MS" w:hAnsi="Arial Unicode MS" w:cs="Arial Unicode MS"/>
          <w:lang w:val="es-ES" w:eastAsia="es-ES"/>
        </w:rPr>
        <w:t>l antecedente único vertido</w:t>
      </w:r>
      <w:r w:rsidRPr="00EE0767">
        <w:rPr>
          <w:rFonts w:ascii="Arial Unicode MS" w:eastAsia="Arial Unicode MS" w:hAnsi="Arial Unicode MS" w:cs="Arial Unicode MS"/>
          <w:lang w:val="es-ES" w:eastAsia="es-ES"/>
        </w:rPr>
        <w:t xml:space="preserve"> en la elaboración del presente documento, tenemos que</w:t>
      </w:r>
      <w:r>
        <w:rPr>
          <w:rFonts w:ascii="Arial Unicode MS" w:eastAsia="Arial Unicode MS" w:hAnsi="Arial Unicode MS" w:cs="Arial Unicode MS"/>
          <w:lang w:val="es-ES" w:eastAsia="es-ES"/>
        </w:rPr>
        <w:t xml:space="preserve"> </w:t>
      </w:r>
      <w:r>
        <w:rPr>
          <w:rFonts w:ascii="Arial Unicode MS" w:eastAsia="Arial Unicode MS" w:hAnsi="Arial Unicode MS" w:cs="Arial Unicode MS"/>
        </w:rPr>
        <w:t>el Licenciado Carlos Alberto Meixueiro Ruíz</w:t>
      </w:r>
      <w:r w:rsidRPr="00EE0767">
        <w:rPr>
          <w:rFonts w:ascii="Arial Unicode MS" w:eastAsia="Arial Unicode MS" w:hAnsi="Arial Unicode MS" w:cs="Arial Unicode MS"/>
        </w:rPr>
        <w:t xml:space="preserve">, </w:t>
      </w:r>
      <w:r>
        <w:rPr>
          <w:rFonts w:ascii="Arial Unicode MS" w:eastAsia="Arial Unicode MS" w:hAnsi="Arial Unicode MS" w:cs="Arial Unicode MS"/>
        </w:rPr>
        <w:t>Director Jurídico y Titular de la Unidad de Transparencia de la Secretaría de Administración, hizo del conocimiento a esta Dirección de Asuntos Jurídicos</w:t>
      </w:r>
      <w:r w:rsidRPr="00EE0767">
        <w:rPr>
          <w:rFonts w:ascii="Arial Unicode MS" w:eastAsia="Arial Unicode MS" w:hAnsi="Arial Unicode MS" w:cs="Arial Unicode MS"/>
        </w:rPr>
        <w:t>, para los ef</w:t>
      </w:r>
      <w:r>
        <w:rPr>
          <w:rFonts w:ascii="Arial Unicode MS" w:eastAsia="Arial Unicode MS" w:hAnsi="Arial Unicode MS" w:cs="Arial Unicode MS"/>
        </w:rPr>
        <w:t xml:space="preserve">ectos legales correspondientes, </w:t>
      </w:r>
      <w:r w:rsidRPr="00D33D0F">
        <w:rPr>
          <w:rFonts w:ascii="Arial Unicode MS" w:eastAsia="Arial Unicode MS" w:hAnsi="Arial Unicode MS" w:cs="Arial Unicode MS"/>
        </w:rPr>
        <w:t>mediante</w:t>
      </w:r>
      <w:r>
        <w:rPr>
          <w:rFonts w:ascii="Arial Unicode MS" w:eastAsia="Arial Unicode MS" w:hAnsi="Arial Unicode MS" w:cs="Arial Unicode MS"/>
        </w:rPr>
        <w:t xml:space="preserve"> correo electrónico el decreto emitido por el </w:t>
      </w:r>
      <w:r w:rsidRPr="00AE3D2F">
        <w:rPr>
          <w:rFonts w:ascii="Arial Unicode MS" w:eastAsia="Arial Unicode MS" w:hAnsi="Arial Unicode MS" w:cs="Arial Unicode MS"/>
        </w:rPr>
        <w:t>Maestro Alejandro Ismael Murat Hinojosa, Gobernador Constitucional del Estado Libre y Soberano de Oaxaca</w:t>
      </w:r>
      <w:r>
        <w:rPr>
          <w:rFonts w:ascii="Arial Unicode MS" w:eastAsia="Arial Unicode MS" w:hAnsi="Arial Unicode MS" w:cs="Arial Unicode MS"/>
        </w:rPr>
        <w:t xml:space="preserve">, publicado en el Periódico Oficial del Estado, de fecha dieciocho de noviembre de dos mil diecisiete; con el que se crea el “Jardín Etnobotánico de Oaxaca”, </w:t>
      </w:r>
      <w:r w:rsidRPr="00F043EC">
        <w:rPr>
          <w:rFonts w:ascii="Arial Unicode MS" w:eastAsia="Arial Unicode MS" w:hAnsi="Arial Unicode MS" w:cs="Arial Unicode MS"/>
        </w:rPr>
        <w:t xml:space="preserve">como </w:t>
      </w:r>
      <w:r>
        <w:rPr>
          <w:rFonts w:ascii="Arial Unicode MS" w:eastAsia="Arial Unicode MS" w:hAnsi="Arial Unicode MS" w:cs="Arial Unicode MS"/>
        </w:rPr>
        <w:t xml:space="preserve">un órgano desconcentrado de la Secretaría de Administración, con autonomía técnica, operativa y de gestión  para el debido cumplimiento de su objeto y ejercicio de las atribuciones conferidas en dicho decreto, </w:t>
      </w:r>
      <w:r w:rsidRPr="00F043EC">
        <w:rPr>
          <w:rFonts w:ascii="Arial Unicode MS" w:eastAsia="Arial Unicode MS" w:hAnsi="Arial Unicode MS" w:cs="Arial Unicode MS"/>
        </w:rPr>
        <w:t>con personalidad jurídica y patrimonio propio; por lo tanto, se actualiza la cualidad específica para los sujetos obligados, destacada en el inciso a) del considerando III del presente documento, luego entonces, tiene la obligación de transparentar, permitir el acceso a su información y proteger datos personales;</w:t>
      </w:r>
    </w:p>
    <w:p w14:paraId="73B2064D" w14:textId="77777777" w:rsidR="001041E9" w:rsidRDefault="001041E9" w:rsidP="001041E9">
      <w:pPr>
        <w:tabs>
          <w:tab w:val="left" w:pos="0"/>
        </w:tabs>
        <w:jc w:val="both"/>
        <w:rPr>
          <w:rFonts w:ascii="Arial Unicode MS" w:eastAsia="Arial Unicode MS" w:hAnsi="Arial Unicode MS" w:cs="Arial Unicode MS"/>
        </w:rPr>
      </w:pPr>
    </w:p>
    <w:p w14:paraId="0FA8B050" w14:textId="77777777" w:rsidR="001041E9" w:rsidRPr="00EE0767" w:rsidRDefault="001041E9" w:rsidP="001041E9">
      <w:pPr>
        <w:tabs>
          <w:tab w:val="left" w:pos="0"/>
        </w:tabs>
        <w:jc w:val="both"/>
        <w:rPr>
          <w:rFonts w:ascii="Arial Unicode MS" w:eastAsia="Arial Unicode MS" w:hAnsi="Arial Unicode MS" w:cs="Arial Unicode MS"/>
        </w:rPr>
      </w:pPr>
      <w:r w:rsidRPr="00EE0767">
        <w:rPr>
          <w:rFonts w:ascii="Arial Unicode MS" w:eastAsia="Arial Unicode MS" w:hAnsi="Arial Unicode MS" w:cs="Arial Unicode MS"/>
          <w:b/>
        </w:rPr>
        <w:t>VII</w:t>
      </w:r>
      <w:r w:rsidRPr="00EE0767">
        <w:rPr>
          <w:rFonts w:ascii="Arial Unicode MS" w:eastAsia="Arial Unicode MS" w:hAnsi="Arial Unicode MS" w:cs="Arial Unicode MS"/>
        </w:rPr>
        <w:t xml:space="preserve">. Que en términos de lo dispuesto por el artículo 87 fracción IV inciso a) de la Ley de Transparencia y Acceso a la Información Pública para el Estado de Oaxaca, es facultad del Consejo General del Instituto de Acceso a la Información Pública y Protección de Datos Personales, dictar las providencias </w:t>
      </w:r>
      <w:r w:rsidRPr="00EE0767">
        <w:rPr>
          <w:rFonts w:ascii="Arial Unicode MS" w:eastAsia="Arial Unicode MS" w:hAnsi="Arial Unicode MS" w:cs="Arial Unicode MS"/>
        </w:rPr>
        <w:lastRenderedPageBreak/>
        <w:t>y medidas necesarias para salvaguardar el derecho de acceso a la información pública, garantizando así este derecho humano fundamental.</w:t>
      </w:r>
    </w:p>
    <w:p w14:paraId="558095BF" w14:textId="77777777" w:rsidR="001041E9" w:rsidRPr="00EE0767" w:rsidRDefault="001041E9" w:rsidP="001041E9">
      <w:pPr>
        <w:tabs>
          <w:tab w:val="left" w:pos="0"/>
        </w:tabs>
        <w:jc w:val="both"/>
        <w:rPr>
          <w:rFonts w:ascii="Arial Unicode MS" w:eastAsia="Arial Unicode MS" w:hAnsi="Arial Unicode MS" w:cs="Arial Unicode MS"/>
          <w:color w:val="0070C0"/>
          <w:lang w:val="es-ES" w:eastAsia="es-ES"/>
        </w:rPr>
      </w:pPr>
    </w:p>
    <w:p w14:paraId="40FDB26E" w14:textId="77777777" w:rsidR="001041E9" w:rsidRPr="00EE0767" w:rsidRDefault="001041E9" w:rsidP="001041E9">
      <w:pPr>
        <w:jc w:val="both"/>
        <w:rPr>
          <w:rFonts w:ascii="Arial Unicode MS" w:eastAsia="Arial Unicode MS" w:hAnsi="Arial Unicode MS" w:cs="Arial Unicode MS"/>
          <w:lang w:val="es-ES" w:eastAsia="es-ES"/>
        </w:rPr>
      </w:pPr>
      <w:r w:rsidRPr="00EE0767">
        <w:rPr>
          <w:rFonts w:ascii="Arial Unicode MS" w:eastAsia="Arial Unicode MS" w:hAnsi="Arial Unicode MS" w:cs="Arial Unicode MS"/>
          <w:lang w:val="es-ES" w:eastAsia="es-ES"/>
        </w:rPr>
        <w:t>Por las razones expuestas, la Dirección de Asuntos Jurídicos del Instituto de Acceso a la Información Pública y Protección de Datos Personales del Estado de Oaxaca, emite el siguiente:</w:t>
      </w:r>
    </w:p>
    <w:p w14:paraId="5FB2EAF8" w14:textId="77777777" w:rsidR="001041E9" w:rsidRDefault="001041E9" w:rsidP="001041E9">
      <w:pPr>
        <w:jc w:val="both"/>
        <w:rPr>
          <w:rFonts w:ascii="Arial Unicode MS" w:eastAsia="Arial Unicode MS" w:hAnsi="Arial Unicode MS" w:cs="Arial Unicode MS"/>
          <w:lang w:val="es-ES" w:eastAsia="es-ES"/>
        </w:rPr>
      </w:pPr>
    </w:p>
    <w:p w14:paraId="6DED1118" w14:textId="77777777" w:rsidR="001041E9" w:rsidRDefault="001041E9" w:rsidP="001041E9">
      <w:pPr>
        <w:jc w:val="center"/>
        <w:rPr>
          <w:rFonts w:ascii="Arial Unicode MS" w:eastAsia="Arial Unicode MS" w:hAnsi="Arial Unicode MS" w:cs="Arial Unicode MS"/>
          <w:b/>
          <w:lang w:val="es-ES" w:eastAsia="es-ES"/>
        </w:rPr>
      </w:pPr>
      <w:r w:rsidRPr="00EE0767">
        <w:rPr>
          <w:rFonts w:ascii="Arial Unicode MS" w:eastAsia="Arial Unicode MS" w:hAnsi="Arial Unicode MS" w:cs="Arial Unicode MS"/>
          <w:b/>
          <w:lang w:val="es-ES" w:eastAsia="es-ES"/>
        </w:rPr>
        <w:t>D I C T A M E N</w:t>
      </w:r>
    </w:p>
    <w:p w14:paraId="766E3767" w14:textId="77777777" w:rsidR="00996577" w:rsidRPr="00EE0767" w:rsidRDefault="00996577" w:rsidP="001041E9">
      <w:pPr>
        <w:jc w:val="center"/>
        <w:rPr>
          <w:rFonts w:ascii="Arial Unicode MS" w:eastAsia="Arial Unicode MS" w:hAnsi="Arial Unicode MS" w:cs="Arial Unicode MS"/>
          <w:b/>
          <w:lang w:val="es-ES" w:eastAsia="es-ES"/>
        </w:rPr>
      </w:pPr>
    </w:p>
    <w:p w14:paraId="699C4A4F" w14:textId="55AE8BBC" w:rsidR="001041E9" w:rsidRDefault="001041E9" w:rsidP="001041E9">
      <w:pPr>
        <w:jc w:val="both"/>
        <w:rPr>
          <w:rFonts w:ascii="Arial Unicode MS" w:eastAsia="Arial Unicode MS" w:hAnsi="Arial Unicode MS" w:cs="Arial Unicode MS"/>
        </w:rPr>
      </w:pPr>
      <w:r w:rsidRPr="00DE4FF2">
        <w:rPr>
          <w:rFonts w:ascii="Arial Unicode MS" w:eastAsia="Arial Unicode MS" w:hAnsi="Arial Unicode MS" w:cs="Arial Unicode MS"/>
          <w:b/>
        </w:rPr>
        <w:t>PRIMERO</w:t>
      </w:r>
      <w:r w:rsidRPr="00DE4FF2">
        <w:rPr>
          <w:rFonts w:ascii="Arial Unicode MS" w:eastAsia="Arial Unicode MS" w:hAnsi="Arial Unicode MS" w:cs="Arial Unicode MS"/>
        </w:rPr>
        <w:t xml:space="preserve">. Es procedente incorporar del padrón de sujetos obligados de la entidad, </w:t>
      </w:r>
      <w:r>
        <w:rPr>
          <w:rFonts w:ascii="Arial Unicode MS" w:eastAsia="Arial Unicode MS" w:hAnsi="Arial Unicode MS" w:cs="Arial Unicode MS"/>
        </w:rPr>
        <w:t>al “</w:t>
      </w:r>
      <w:r w:rsidR="00996577" w:rsidRPr="00996577">
        <w:rPr>
          <w:rFonts w:ascii="Arial Unicode MS" w:eastAsia="Arial Unicode MS" w:hAnsi="Arial Unicode MS" w:cs="Arial Unicode MS"/>
          <w:b/>
        </w:rPr>
        <w:t>JARDÍN ETNOBOTÁNICO DE OAXACA</w:t>
      </w:r>
      <w:r>
        <w:rPr>
          <w:rFonts w:ascii="Arial Unicode MS" w:eastAsia="Arial Unicode MS" w:hAnsi="Arial Unicode MS" w:cs="Arial Unicode MS"/>
        </w:rPr>
        <w:t xml:space="preserve">”, </w:t>
      </w:r>
      <w:r w:rsidRPr="00DE4FF2">
        <w:rPr>
          <w:rFonts w:ascii="Arial Unicode MS" w:eastAsia="Arial Unicode MS" w:hAnsi="Arial Unicode MS" w:cs="Arial Unicode MS"/>
        </w:rPr>
        <w:t>por los argumentos fundados y motivados expuestos en los considerandos del presente documento.</w:t>
      </w:r>
    </w:p>
    <w:p w14:paraId="2BDB9F5A" w14:textId="77777777" w:rsidR="001041E9" w:rsidRDefault="001041E9" w:rsidP="001041E9">
      <w:pPr>
        <w:jc w:val="both"/>
        <w:rPr>
          <w:rFonts w:ascii="Arial Unicode MS" w:eastAsia="Arial Unicode MS" w:hAnsi="Arial Unicode MS" w:cs="Arial Unicode MS"/>
        </w:rPr>
      </w:pPr>
    </w:p>
    <w:p w14:paraId="237D13B1" w14:textId="048BCCC6" w:rsidR="001041E9" w:rsidRPr="00F563B3" w:rsidRDefault="001041E9" w:rsidP="001041E9">
      <w:pPr>
        <w:jc w:val="both"/>
        <w:rPr>
          <w:rFonts w:ascii="Arial Unicode MS" w:eastAsia="Arial Unicode MS" w:hAnsi="Arial Unicode MS" w:cs="Arial Unicode MS"/>
        </w:rPr>
      </w:pPr>
      <w:r w:rsidRPr="00F563B3">
        <w:rPr>
          <w:rFonts w:ascii="Arial Unicode MS" w:eastAsia="Arial Unicode MS" w:hAnsi="Arial Unicode MS" w:cs="Arial Unicode MS"/>
          <w:b/>
        </w:rPr>
        <w:t>SEGUNDO</w:t>
      </w:r>
      <w:r w:rsidRPr="00F563B3">
        <w:rPr>
          <w:rFonts w:ascii="Arial Unicode MS" w:eastAsia="Arial Unicode MS" w:hAnsi="Arial Unicode MS" w:cs="Arial Unicode MS"/>
        </w:rPr>
        <w:t xml:space="preserve">. Remítase el presente documento a la Secretaría Técnica del Instituto de Acceso a la Información Pública y Protección de Datos Personales, para </w:t>
      </w:r>
      <w:r>
        <w:rPr>
          <w:rFonts w:ascii="Arial Unicode MS" w:eastAsia="Arial Unicode MS" w:hAnsi="Arial Unicode MS" w:cs="Arial Unicode MS"/>
        </w:rPr>
        <w:t>que</w:t>
      </w:r>
      <w:r w:rsidR="007D23B5">
        <w:rPr>
          <w:rFonts w:ascii="Arial Unicode MS" w:eastAsia="Arial Unicode MS" w:hAnsi="Arial Unicode MS" w:cs="Arial Unicode MS"/>
        </w:rPr>
        <w:t>,</w:t>
      </w:r>
      <w:r>
        <w:rPr>
          <w:rFonts w:ascii="Arial Unicode MS" w:eastAsia="Arial Unicode MS" w:hAnsi="Arial Unicode MS" w:cs="Arial Unicode MS"/>
        </w:rPr>
        <w:t xml:space="preserve"> de ser procedente </w:t>
      </w:r>
      <w:r w:rsidRPr="00F563B3">
        <w:rPr>
          <w:rFonts w:ascii="Arial Unicode MS" w:eastAsia="Arial Unicode MS" w:hAnsi="Arial Unicode MS" w:cs="Arial Unicode MS"/>
        </w:rPr>
        <w:t xml:space="preserve">sea aprobado en sesión </w:t>
      </w:r>
      <w:r>
        <w:rPr>
          <w:rFonts w:ascii="Arial Unicode MS" w:eastAsia="Arial Unicode MS" w:hAnsi="Arial Unicode MS" w:cs="Arial Unicode MS"/>
        </w:rPr>
        <w:t>del</w:t>
      </w:r>
      <w:r w:rsidRPr="00F563B3">
        <w:rPr>
          <w:rFonts w:ascii="Arial Unicode MS" w:eastAsia="Arial Unicode MS" w:hAnsi="Arial Unicode MS" w:cs="Arial Unicode MS"/>
        </w:rPr>
        <w:t xml:space="preserve"> Consejo General.</w:t>
      </w:r>
    </w:p>
    <w:p w14:paraId="10693888" w14:textId="77777777" w:rsidR="001041E9" w:rsidRPr="00F563B3" w:rsidRDefault="001041E9" w:rsidP="001041E9">
      <w:pPr>
        <w:jc w:val="both"/>
        <w:rPr>
          <w:rFonts w:ascii="Arial Unicode MS" w:eastAsia="Arial Unicode MS" w:hAnsi="Arial Unicode MS" w:cs="Arial Unicode MS"/>
        </w:rPr>
      </w:pPr>
    </w:p>
    <w:p w14:paraId="2FAA7AF8" w14:textId="0EB88D09" w:rsidR="001041E9" w:rsidRDefault="001041E9" w:rsidP="001041E9">
      <w:pPr>
        <w:jc w:val="both"/>
        <w:rPr>
          <w:rFonts w:ascii="Arial Unicode MS" w:eastAsia="Arial Unicode MS" w:hAnsi="Arial Unicode MS" w:cs="Arial Unicode MS"/>
        </w:rPr>
      </w:pPr>
      <w:r w:rsidRPr="00F563B3">
        <w:rPr>
          <w:rFonts w:ascii="Arial Unicode MS" w:eastAsia="Arial Unicode MS" w:hAnsi="Arial Unicode MS" w:cs="Arial Unicode MS"/>
          <w:b/>
        </w:rPr>
        <w:t>TERCERO</w:t>
      </w:r>
      <w:r w:rsidRPr="00F563B3">
        <w:rPr>
          <w:rFonts w:ascii="Arial Unicode MS" w:eastAsia="Arial Unicode MS" w:hAnsi="Arial Unicode MS" w:cs="Arial Unicode MS"/>
        </w:rPr>
        <w:t xml:space="preserve">. Una vez aprobado el presente dictamen, deberá ser notificado por </w:t>
      </w:r>
      <w:r w:rsidR="007D23B5">
        <w:rPr>
          <w:rFonts w:ascii="Arial Unicode MS" w:eastAsia="Arial Unicode MS" w:hAnsi="Arial Unicode MS" w:cs="Arial Unicode MS"/>
        </w:rPr>
        <w:t>la Secretaría General de Acuerdos</w:t>
      </w:r>
      <w:r w:rsidRPr="00F563B3">
        <w:rPr>
          <w:rFonts w:ascii="Arial Unicode MS" w:eastAsia="Arial Unicode MS" w:hAnsi="Arial Unicode MS" w:cs="Arial Unicode MS"/>
        </w:rPr>
        <w:t xml:space="preserve"> de este </w:t>
      </w:r>
      <w:r w:rsidR="007D23B5">
        <w:rPr>
          <w:rFonts w:ascii="Arial Unicode MS" w:eastAsia="Arial Unicode MS" w:hAnsi="Arial Unicode MS" w:cs="Arial Unicode MS"/>
        </w:rPr>
        <w:t>organismo</w:t>
      </w:r>
      <w:r w:rsidRPr="00F563B3">
        <w:rPr>
          <w:rFonts w:ascii="Arial Unicode MS" w:eastAsia="Arial Unicode MS" w:hAnsi="Arial Unicode MS" w:cs="Arial Unicode MS"/>
        </w:rPr>
        <w:t xml:space="preserve"> garante, tanto al sujeto obligado concerniente, como a cada una de las áreas administrativas de este </w:t>
      </w:r>
      <w:r w:rsidR="007D23B5">
        <w:rPr>
          <w:rFonts w:ascii="Arial Unicode MS" w:eastAsia="Arial Unicode MS" w:hAnsi="Arial Unicode MS" w:cs="Arial Unicode MS"/>
        </w:rPr>
        <w:t>Instituto</w:t>
      </w:r>
      <w:r w:rsidRPr="00F563B3">
        <w:rPr>
          <w:rFonts w:ascii="Arial Unicode MS" w:eastAsia="Arial Unicode MS" w:hAnsi="Arial Unicode MS" w:cs="Arial Unicode MS"/>
        </w:rPr>
        <w:t>, para los efectos legales correspondientes.</w:t>
      </w:r>
    </w:p>
    <w:p w14:paraId="7E1676B0" w14:textId="77777777" w:rsidR="008A283F" w:rsidRDefault="008A283F" w:rsidP="001041E9">
      <w:pPr>
        <w:jc w:val="both"/>
        <w:rPr>
          <w:rFonts w:ascii="Arial Unicode MS" w:eastAsia="Arial Unicode MS" w:hAnsi="Arial Unicode MS" w:cs="Arial Unicode MS"/>
        </w:rPr>
      </w:pPr>
    </w:p>
    <w:p w14:paraId="3A3C5376" w14:textId="77777777" w:rsidR="001041E9" w:rsidRPr="00AE3D2F" w:rsidRDefault="001041E9" w:rsidP="001041E9">
      <w:pPr>
        <w:jc w:val="both"/>
        <w:rPr>
          <w:rFonts w:ascii="Arial Unicode MS" w:eastAsia="Arial Unicode MS" w:hAnsi="Arial Unicode MS" w:cs="Arial Unicode MS"/>
        </w:rPr>
      </w:pPr>
      <w:r w:rsidRPr="00AE3D2F">
        <w:rPr>
          <w:rFonts w:ascii="Arial Unicode MS" w:eastAsia="Arial Unicode MS" w:hAnsi="Arial Unicode MS" w:cs="Arial Unicode MS"/>
          <w:b/>
        </w:rPr>
        <w:t xml:space="preserve">CUARTO. </w:t>
      </w:r>
      <w:r w:rsidRPr="00AE3D2F">
        <w:rPr>
          <w:rFonts w:ascii="Arial Unicode MS" w:eastAsia="Arial Unicode MS" w:hAnsi="Arial Unicode MS" w:cs="Arial Unicode MS"/>
        </w:rPr>
        <w:t>Notificado que sea el presente documento al sujeto obligado correspondiente, se le hace del conocimiento a su titular, que deberá atender dentro de los 10 días hábiles subsecuentes, las siguientes recomendaciones:</w:t>
      </w:r>
    </w:p>
    <w:p w14:paraId="375AA7C4" w14:textId="77777777" w:rsidR="001041E9" w:rsidRPr="00AE3D2F" w:rsidRDefault="001041E9" w:rsidP="001041E9">
      <w:pPr>
        <w:jc w:val="both"/>
        <w:rPr>
          <w:rFonts w:ascii="Arial Unicode MS" w:eastAsia="Arial Unicode MS" w:hAnsi="Arial Unicode MS" w:cs="Arial Unicode MS"/>
        </w:rPr>
      </w:pPr>
    </w:p>
    <w:p w14:paraId="2BE2D223" w14:textId="77777777" w:rsidR="001041E9" w:rsidRPr="00AE3D2F" w:rsidRDefault="001041E9" w:rsidP="001041E9">
      <w:pPr>
        <w:ind w:left="705" w:hanging="705"/>
        <w:jc w:val="both"/>
        <w:rPr>
          <w:rFonts w:ascii="Arial Unicode MS" w:eastAsia="Arial Unicode MS" w:hAnsi="Arial Unicode MS" w:cs="Arial Unicode MS"/>
        </w:rPr>
      </w:pPr>
      <w:r w:rsidRPr="00AE3D2F">
        <w:rPr>
          <w:rFonts w:ascii="Arial Unicode MS" w:eastAsia="Arial Unicode MS" w:hAnsi="Arial Unicode MS" w:cs="Arial Unicode MS"/>
        </w:rPr>
        <w:t>a)</w:t>
      </w:r>
      <w:r w:rsidRPr="00AE3D2F">
        <w:rPr>
          <w:rFonts w:ascii="Arial Unicode MS" w:eastAsia="Arial Unicode MS" w:hAnsi="Arial Unicode MS" w:cs="Arial Unicode MS"/>
        </w:rPr>
        <w:tab/>
        <w:t xml:space="preserve">Nombrar al Responsable y personal habilitado de su Unidad de transparencia; debiendo informarlo por escrito a este Instituto con las constancias correspondientes; </w:t>
      </w:r>
    </w:p>
    <w:p w14:paraId="37A44A94" w14:textId="77777777" w:rsidR="001041E9" w:rsidRPr="00AE3D2F" w:rsidRDefault="001041E9" w:rsidP="001041E9">
      <w:pPr>
        <w:ind w:left="705" w:hanging="705"/>
        <w:jc w:val="both"/>
        <w:rPr>
          <w:rFonts w:ascii="Arial Unicode MS" w:eastAsia="Arial Unicode MS" w:hAnsi="Arial Unicode MS" w:cs="Arial Unicode MS"/>
        </w:rPr>
      </w:pPr>
      <w:r w:rsidRPr="00AE3D2F">
        <w:rPr>
          <w:rFonts w:ascii="Arial Unicode MS" w:eastAsia="Arial Unicode MS" w:hAnsi="Arial Unicode MS" w:cs="Arial Unicode MS"/>
        </w:rPr>
        <w:t>b)</w:t>
      </w:r>
      <w:r w:rsidRPr="00AE3D2F">
        <w:rPr>
          <w:rFonts w:ascii="Arial Unicode MS" w:eastAsia="Arial Unicode MS" w:hAnsi="Arial Unicode MS" w:cs="Arial Unicode MS"/>
        </w:rPr>
        <w:tab/>
        <w:t>Integrar su Comité de Transparencia, debiendo informarlo por escrito a este órgano con las constancias correspondientes;</w:t>
      </w:r>
    </w:p>
    <w:p w14:paraId="34CDDCA5" w14:textId="77777777" w:rsidR="001041E9" w:rsidRPr="00AE3D2F" w:rsidRDefault="001041E9" w:rsidP="001041E9">
      <w:pPr>
        <w:ind w:left="705" w:hanging="705"/>
        <w:jc w:val="both"/>
        <w:rPr>
          <w:rFonts w:ascii="Arial Unicode MS" w:eastAsia="Arial Unicode MS" w:hAnsi="Arial Unicode MS" w:cs="Arial Unicode MS"/>
        </w:rPr>
      </w:pPr>
      <w:r w:rsidRPr="00AE3D2F">
        <w:rPr>
          <w:rFonts w:ascii="Arial Unicode MS" w:eastAsia="Arial Unicode MS" w:hAnsi="Arial Unicode MS" w:cs="Arial Unicode MS"/>
        </w:rPr>
        <w:t>c)</w:t>
      </w:r>
      <w:r w:rsidRPr="00AE3D2F">
        <w:rPr>
          <w:rFonts w:ascii="Arial Unicode MS" w:eastAsia="Arial Unicode MS" w:hAnsi="Arial Unicode MS" w:cs="Arial Unicode MS"/>
        </w:rPr>
        <w:tab/>
        <w:t xml:space="preserve">Agendar con la Dirección de Comunicación, Capacitación, Evaluación, Archivo y Datos Personales; capacitaciones en materia de transparencia, acceso a la información, protección de datos personales, gobierno abierto y transparencia proactiva para su personal; </w:t>
      </w:r>
    </w:p>
    <w:p w14:paraId="5896675A" w14:textId="77777777" w:rsidR="001041E9" w:rsidRPr="00AE3D2F" w:rsidRDefault="001041E9" w:rsidP="001041E9">
      <w:pPr>
        <w:ind w:left="705" w:hanging="705"/>
        <w:jc w:val="both"/>
        <w:rPr>
          <w:rFonts w:ascii="Arial Unicode MS" w:eastAsia="Arial Unicode MS" w:hAnsi="Arial Unicode MS" w:cs="Arial Unicode MS"/>
        </w:rPr>
      </w:pPr>
      <w:r w:rsidRPr="00AE3D2F">
        <w:rPr>
          <w:rFonts w:ascii="Arial Unicode MS" w:eastAsia="Arial Unicode MS" w:hAnsi="Arial Unicode MS" w:cs="Arial Unicode MS"/>
        </w:rPr>
        <w:lastRenderedPageBreak/>
        <w:t xml:space="preserve">d) </w:t>
      </w:r>
      <w:r w:rsidRPr="00AE3D2F">
        <w:rPr>
          <w:rFonts w:ascii="Arial Unicode MS" w:eastAsia="Arial Unicode MS" w:hAnsi="Arial Unicode MS" w:cs="Arial Unicode MS"/>
        </w:rPr>
        <w:tab/>
        <w:t>Nombrar en su caso, a su oficial de protección de datos personales; debiendo informarlo por escrito a este Instituto con las constancias correspondientes; y,</w:t>
      </w:r>
    </w:p>
    <w:p w14:paraId="1D07D77E" w14:textId="77777777" w:rsidR="001041E9" w:rsidRPr="00AE3D2F" w:rsidRDefault="001041E9" w:rsidP="001041E9">
      <w:pPr>
        <w:ind w:left="705" w:hanging="705"/>
        <w:jc w:val="both"/>
        <w:rPr>
          <w:rFonts w:ascii="Arial Unicode MS" w:eastAsia="Arial Unicode MS" w:hAnsi="Arial Unicode MS" w:cs="Arial Unicode MS"/>
        </w:rPr>
      </w:pPr>
      <w:r w:rsidRPr="00AE3D2F">
        <w:rPr>
          <w:rFonts w:ascii="Arial Unicode MS" w:eastAsia="Arial Unicode MS" w:hAnsi="Arial Unicode MS" w:cs="Arial Unicode MS"/>
        </w:rPr>
        <w:t>e)</w:t>
      </w:r>
      <w:r w:rsidRPr="00AE3D2F">
        <w:rPr>
          <w:rFonts w:ascii="Arial Unicode MS" w:eastAsia="Arial Unicode MS" w:hAnsi="Arial Unicode MS" w:cs="Arial Unicode MS"/>
        </w:rPr>
        <w:tab/>
        <w:t>Remitir a la Dirección de Asuntos Jurídicos, su tabla integral de aplicabilidad, a efectos de su verificación y posterior aprobación por el Consejo General.</w:t>
      </w:r>
    </w:p>
    <w:p w14:paraId="50E2B08C" w14:textId="77777777" w:rsidR="001041E9" w:rsidRPr="00AE3D2F" w:rsidRDefault="001041E9" w:rsidP="001041E9">
      <w:pPr>
        <w:jc w:val="both"/>
        <w:rPr>
          <w:rFonts w:ascii="Arial Unicode MS" w:eastAsia="Arial Unicode MS" w:hAnsi="Arial Unicode MS" w:cs="Arial Unicode MS"/>
        </w:rPr>
      </w:pPr>
    </w:p>
    <w:p w14:paraId="239BD868" w14:textId="77777777" w:rsidR="001041E9" w:rsidRPr="007D23B5" w:rsidRDefault="001041E9" w:rsidP="001041E9">
      <w:pPr>
        <w:jc w:val="both"/>
        <w:rPr>
          <w:rFonts w:ascii="Arial Unicode MS" w:eastAsia="Arial Unicode MS" w:hAnsi="Arial Unicode MS" w:cs="Arial Unicode MS"/>
        </w:rPr>
      </w:pPr>
      <w:r w:rsidRPr="00AE3D2F">
        <w:rPr>
          <w:rFonts w:ascii="Arial Unicode MS" w:eastAsia="Arial Unicode MS" w:hAnsi="Arial Unicode MS" w:cs="Arial Unicode MS"/>
        </w:rPr>
        <w:t xml:space="preserve">Así también se le hace del conocimiento, que una vez nombrado el Responsable y personal habilitado de su Unidad de transparencia, éste deberá presentarse ante la Dirección de Tecnologías de Transparencia de este órgano garante, con un correo institucional transferible de administración en administración, para los efectos de </w:t>
      </w:r>
      <w:r w:rsidRPr="007D23B5">
        <w:rPr>
          <w:rFonts w:ascii="Arial Unicode MS" w:eastAsia="Arial Unicode MS" w:hAnsi="Arial Unicode MS" w:cs="Arial Unicode MS"/>
        </w:rPr>
        <w:t xml:space="preserve">recibir su </w:t>
      </w:r>
      <w:r w:rsidRPr="007D23B5">
        <w:rPr>
          <w:rFonts w:ascii="Arial Unicode MS" w:eastAsia="Arial Unicode MS" w:hAnsi="Arial Unicode MS" w:cs="Arial Unicode MS"/>
          <w:u w:val="single"/>
        </w:rPr>
        <w:t>Usuario y Contraseña</w:t>
      </w:r>
      <w:r w:rsidRPr="007D23B5">
        <w:rPr>
          <w:rFonts w:ascii="Arial Unicode MS" w:eastAsia="Arial Unicode MS" w:hAnsi="Arial Unicode MS" w:cs="Arial Unicode MS"/>
        </w:rPr>
        <w:t xml:space="preserve">, a efectos de recibir sus elementos de seguridad para acceder a los sistemas y llevar a cabo el registro de su información, lo cual debe acontecer dentro de los </w:t>
      </w:r>
      <w:r w:rsidRPr="007D23B5">
        <w:rPr>
          <w:rFonts w:ascii="Arial Unicode MS" w:eastAsia="Arial Unicode MS" w:hAnsi="Arial Unicode MS" w:cs="Arial Unicode MS"/>
          <w:u w:val="single"/>
        </w:rPr>
        <w:t>seis meses</w:t>
      </w:r>
      <w:r w:rsidRPr="007D23B5">
        <w:rPr>
          <w:rFonts w:ascii="Arial Unicode MS" w:eastAsia="Arial Unicode MS" w:hAnsi="Arial Unicode MS" w:cs="Arial Unicode MS"/>
        </w:rPr>
        <w:t xml:space="preserve"> siguientes, en atención a lo dispuesto por la fracción III del numeral Cuarto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no así para la atención de las solicitudes de acceso a la información y protección de datos personales, así como, los recursos de revisión que debe ser inmediata.</w:t>
      </w:r>
    </w:p>
    <w:p w14:paraId="2CC9D6B0" w14:textId="77777777" w:rsidR="001041E9" w:rsidRPr="007D23B5" w:rsidRDefault="001041E9" w:rsidP="001041E9">
      <w:pPr>
        <w:jc w:val="both"/>
        <w:rPr>
          <w:rFonts w:ascii="Calibri" w:eastAsia="Calibri" w:hAnsi="Calibri" w:cs="Arial"/>
          <w:sz w:val="26"/>
          <w:szCs w:val="26"/>
        </w:rPr>
      </w:pPr>
    </w:p>
    <w:p w14:paraId="563DEDA9" w14:textId="77777777" w:rsidR="001041E9" w:rsidRPr="007D23B5" w:rsidRDefault="001041E9" w:rsidP="001041E9">
      <w:pPr>
        <w:jc w:val="both"/>
        <w:rPr>
          <w:rFonts w:ascii="Calibri" w:eastAsia="Calibri" w:hAnsi="Calibri" w:cs="Arial"/>
          <w:sz w:val="26"/>
          <w:szCs w:val="26"/>
        </w:rPr>
      </w:pPr>
    </w:p>
    <w:p w14:paraId="20D3506D" w14:textId="77777777" w:rsidR="001041E9" w:rsidRDefault="001041E9" w:rsidP="001041E9">
      <w:pPr>
        <w:jc w:val="both"/>
        <w:rPr>
          <w:rFonts w:ascii="Calibri" w:eastAsia="Calibri" w:hAnsi="Calibri" w:cs="Arial"/>
          <w:sz w:val="26"/>
          <w:szCs w:val="26"/>
        </w:rPr>
      </w:pPr>
    </w:p>
    <w:p w14:paraId="65C12BE1" w14:textId="77777777" w:rsidR="001041E9" w:rsidRPr="00EE0767" w:rsidRDefault="001041E9" w:rsidP="001041E9">
      <w:pPr>
        <w:jc w:val="both"/>
        <w:rPr>
          <w:rFonts w:ascii="Calibri" w:eastAsia="Calibri" w:hAnsi="Calibri" w:cs="Arial"/>
          <w:sz w:val="26"/>
          <w:szCs w:val="26"/>
        </w:rPr>
      </w:pPr>
    </w:p>
    <w:p w14:paraId="3EBD3F1D" w14:textId="12AF9BD4" w:rsidR="001041E9" w:rsidRPr="00EE0767" w:rsidRDefault="00996577" w:rsidP="001041E9">
      <w:pPr>
        <w:jc w:val="center"/>
        <w:rPr>
          <w:rFonts w:ascii="Calibri" w:eastAsia="Calibri" w:hAnsi="Calibri" w:cs="Arial"/>
          <w:b/>
          <w:sz w:val="26"/>
          <w:szCs w:val="26"/>
        </w:rPr>
      </w:pPr>
      <w:r>
        <w:rPr>
          <w:rFonts w:ascii="Calibri" w:eastAsia="Calibri" w:hAnsi="Calibri" w:cs="Arial"/>
          <w:b/>
          <w:sz w:val="26"/>
          <w:szCs w:val="26"/>
        </w:rPr>
        <w:t>La</w:t>
      </w:r>
      <w:r w:rsidRPr="00EE0767">
        <w:rPr>
          <w:rFonts w:ascii="Calibri" w:eastAsia="Calibri" w:hAnsi="Calibri" w:cs="Arial"/>
          <w:b/>
          <w:sz w:val="26"/>
          <w:szCs w:val="26"/>
        </w:rPr>
        <w:t xml:space="preserve"> Director</w:t>
      </w:r>
      <w:r>
        <w:rPr>
          <w:rFonts w:ascii="Calibri" w:eastAsia="Calibri" w:hAnsi="Calibri" w:cs="Arial"/>
          <w:b/>
          <w:sz w:val="26"/>
          <w:szCs w:val="26"/>
        </w:rPr>
        <w:t>a d</w:t>
      </w:r>
      <w:r w:rsidRPr="00EE0767">
        <w:rPr>
          <w:rFonts w:ascii="Calibri" w:eastAsia="Calibri" w:hAnsi="Calibri" w:cs="Arial"/>
          <w:b/>
          <w:sz w:val="26"/>
          <w:szCs w:val="26"/>
        </w:rPr>
        <w:t>e Asuntos Jurídicos</w:t>
      </w:r>
    </w:p>
    <w:p w14:paraId="7D2B1658" w14:textId="77777777" w:rsidR="001041E9" w:rsidRDefault="001041E9" w:rsidP="001041E9">
      <w:pPr>
        <w:jc w:val="center"/>
        <w:rPr>
          <w:rFonts w:ascii="Calibri" w:eastAsia="Calibri" w:hAnsi="Calibri" w:cs="Arial"/>
          <w:b/>
          <w:sz w:val="26"/>
          <w:szCs w:val="26"/>
        </w:rPr>
      </w:pPr>
    </w:p>
    <w:p w14:paraId="790533DD" w14:textId="77777777" w:rsidR="001041E9" w:rsidRDefault="001041E9" w:rsidP="001041E9">
      <w:pPr>
        <w:jc w:val="center"/>
        <w:rPr>
          <w:rFonts w:ascii="Calibri" w:eastAsia="Calibri" w:hAnsi="Calibri" w:cs="Arial"/>
          <w:b/>
          <w:sz w:val="26"/>
          <w:szCs w:val="26"/>
        </w:rPr>
      </w:pPr>
    </w:p>
    <w:p w14:paraId="57A395E7" w14:textId="77777777" w:rsidR="001041E9" w:rsidRPr="00EE0767" w:rsidRDefault="001041E9" w:rsidP="001041E9">
      <w:pPr>
        <w:jc w:val="center"/>
        <w:rPr>
          <w:rFonts w:ascii="Calibri" w:eastAsia="Calibri" w:hAnsi="Calibri" w:cs="Arial"/>
          <w:b/>
          <w:sz w:val="26"/>
          <w:szCs w:val="26"/>
        </w:rPr>
      </w:pPr>
    </w:p>
    <w:p w14:paraId="39BA990F" w14:textId="4BE77DE0" w:rsidR="001041E9" w:rsidRPr="00EE0767" w:rsidRDefault="00996577" w:rsidP="001041E9">
      <w:pPr>
        <w:jc w:val="center"/>
        <w:rPr>
          <w:rFonts w:ascii="Calibri" w:eastAsia="Calibri" w:hAnsi="Calibri" w:cs="Arial"/>
          <w:b/>
          <w:sz w:val="26"/>
          <w:szCs w:val="26"/>
        </w:rPr>
      </w:pPr>
      <w:r w:rsidRPr="00EE0767">
        <w:rPr>
          <w:rFonts w:ascii="Calibri" w:eastAsia="Calibri" w:hAnsi="Calibri" w:cs="Arial"/>
          <w:b/>
          <w:sz w:val="26"/>
          <w:szCs w:val="26"/>
        </w:rPr>
        <w:t>L</w:t>
      </w:r>
      <w:r w:rsidR="007D23B5">
        <w:rPr>
          <w:rFonts w:ascii="Calibri" w:eastAsia="Calibri" w:hAnsi="Calibri" w:cs="Arial"/>
          <w:b/>
          <w:sz w:val="26"/>
          <w:szCs w:val="26"/>
        </w:rPr>
        <w:t>cda</w:t>
      </w:r>
      <w:r w:rsidRPr="00EE0767">
        <w:rPr>
          <w:rFonts w:ascii="Calibri" w:eastAsia="Calibri" w:hAnsi="Calibri" w:cs="Arial"/>
          <w:b/>
          <w:sz w:val="26"/>
          <w:szCs w:val="26"/>
        </w:rPr>
        <w:t xml:space="preserve">. </w:t>
      </w:r>
      <w:r>
        <w:rPr>
          <w:rFonts w:ascii="Calibri" w:eastAsia="Calibri" w:hAnsi="Calibri" w:cs="Arial"/>
          <w:b/>
          <w:sz w:val="26"/>
          <w:szCs w:val="26"/>
        </w:rPr>
        <w:t>Lucila Martínez Altamirano</w:t>
      </w:r>
    </w:p>
    <w:p w14:paraId="468E9BA2" w14:textId="77777777" w:rsidR="001041E9" w:rsidRPr="00EE0767" w:rsidRDefault="001041E9" w:rsidP="001041E9">
      <w:pPr>
        <w:jc w:val="both"/>
        <w:rPr>
          <w:rFonts w:ascii="Calibri" w:eastAsia="Calibri" w:hAnsi="Calibri" w:cs="Arial"/>
          <w:sz w:val="26"/>
          <w:szCs w:val="26"/>
        </w:rPr>
      </w:pPr>
    </w:p>
    <w:p w14:paraId="67F55EC1" w14:textId="77777777" w:rsidR="001041E9" w:rsidRDefault="001041E9" w:rsidP="001041E9">
      <w:pPr>
        <w:jc w:val="right"/>
        <w:rPr>
          <w:rFonts w:ascii="Calibri" w:eastAsia="Calibri" w:hAnsi="Calibri" w:cs="Arial"/>
          <w:sz w:val="26"/>
          <w:szCs w:val="26"/>
        </w:rPr>
      </w:pPr>
    </w:p>
    <w:p w14:paraId="18E4708F" w14:textId="77777777" w:rsidR="001041E9" w:rsidRPr="00EE0767" w:rsidRDefault="001041E9" w:rsidP="001041E9">
      <w:pPr>
        <w:jc w:val="right"/>
        <w:rPr>
          <w:rFonts w:ascii="Calibri" w:eastAsia="Calibri" w:hAnsi="Calibri" w:cs="Arial"/>
          <w:sz w:val="26"/>
          <w:szCs w:val="26"/>
        </w:rPr>
      </w:pPr>
    </w:p>
    <w:p w14:paraId="0EBEE43C" w14:textId="77777777" w:rsidR="001041E9" w:rsidRDefault="001041E9" w:rsidP="001041E9">
      <w:pPr>
        <w:jc w:val="right"/>
        <w:rPr>
          <w:rFonts w:ascii="Calibri" w:eastAsia="Calibri" w:hAnsi="Calibri" w:cs="Arial"/>
          <w:sz w:val="26"/>
          <w:szCs w:val="26"/>
        </w:rPr>
      </w:pPr>
    </w:p>
    <w:p w14:paraId="4C4693CF" w14:textId="3BEF413F" w:rsidR="001041E9" w:rsidRDefault="001041E9" w:rsidP="001041E9">
      <w:pPr>
        <w:jc w:val="right"/>
        <w:rPr>
          <w:rFonts w:ascii="Calibri" w:eastAsia="Calibri" w:hAnsi="Calibri" w:cs="Arial"/>
          <w:sz w:val="26"/>
          <w:szCs w:val="26"/>
        </w:rPr>
      </w:pPr>
      <w:r w:rsidRPr="00EE0767">
        <w:rPr>
          <w:rFonts w:ascii="Calibri" w:eastAsia="Calibri" w:hAnsi="Calibri" w:cs="Arial"/>
          <w:sz w:val="26"/>
          <w:szCs w:val="26"/>
        </w:rPr>
        <w:t>Oa</w:t>
      </w:r>
      <w:r>
        <w:rPr>
          <w:rFonts w:ascii="Calibri" w:eastAsia="Calibri" w:hAnsi="Calibri" w:cs="Arial"/>
          <w:sz w:val="26"/>
          <w:szCs w:val="26"/>
        </w:rPr>
        <w:t xml:space="preserve">xaca de Juárez, Oaxaca, diciembre </w:t>
      </w:r>
      <w:r w:rsidR="00996577">
        <w:rPr>
          <w:rFonts w:ascii="Calibri" w:eastAsia="Calibri" w:hAnsi="Calibri" w:cs="Arial"/>
          <w:sz w:val="26"/>
          <w:szCs w:val="26"/>
        </w:rPr>
        <w:t xml:space="preserve">16 </w:t>
      </w:r>
      <w:r w:rsidRPr="00EE0767">
        <w:rPr>
          <w:rFonts w:ascii="Calibri" w:eastAsia="Calibri" w:hAnsi="Calibri" w:cs="Arial"/>
          <w:sz w:val="26"/>
          <w:szCs w:val="26"/>
        </w:rPr>
        <w:t>de 20</w:t>
      </w:r>
      <w:r>
        <w:rPr>
          <w:rFonts w:ascii="Calibri" w:eastAsia="Calibri" w:hAnsi="Calibri" w:cs="Arial"/>
          <w:sz w:val="26"/>
          <w:szCs w:val="26"/>
        </w:rPr>
        <w:t>20</w:t>
      </w:r>
      <w:r w:rsidRPr="00EE0767">
        <w:rPr>
          <w:rFonts w:ascii="Calibri" w:eastAsia="Calibri" w:hAnsi="Calibri" w:cs="Arial"/>
          <w:sz w:val="26"/>
          <w:szCs w:val="26"/>
        </w:rPr>
        <w:t>.</w:t>
      </w:r>
      <w:r>
        <w:rPr>
          <w:noProof/>
          <w:lang w:eastAsia="es-MX"/>
        </w:rPr>
        <w:drawing>
          <wp:anchor distT="0" distB="0" distL="114300" distR="114300" simplePos="0" relativeHeight="251666432" behindDoc="1" locked="0" layoutInCell="1" allowOverlap="1" wp14:anchorId="5B36B4E7" wp14:editId="5CC6D6E3">
            <wp:simplePos x="0" y="0"/>
            <wp:positionH relativeFrom="column">
              <wp:posOffset>12700</wp:posOffset>
            </wp:positionH>
            <wp:positionV relativeFrom="paragraph">
              <wp:posOffset>9077325</wp:posOffset>
            </wp:positionV>
            <wp:extent cx="7750175" cy="1114425"/>
            <wp:effectExtent l="0" t="0" r="3175" b="9525"/>
            <wp:wrapNone/>
            <wp:docPr id="13" name="Imagen 1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5408" behindDoc="1" locked="0" layoutInCell="1" allowOverlap="1" wp14:anchorId="532E9B8E" wp14:editId="3E126F4D">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4384" behindDoc="1" locked="0" layoutInCell="1" allowOverlap="1" wp14:anchorId="6444B935" wp14:editId="3B821719">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3360" behindDoc="1" locked="0" layoutInCell="1" allowOverlap="1" wp14:anchorId="08BCE2B1" wp14:editId="51515427">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38162A52" wp14:editId="45625093">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7B9E780" wp14:editId="61F2FA0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416DF6C4" wp14:editId="32A0A774">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5844D658" wp14:editId="63DFD990">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041E9" w:rsidSect="007D23B5">
      <w:headerReference w:type="default" r:id="rId9"/>
      <w:footerReference w:type="default" r:id="rId10"/>
      <w:pgSz w:w="12240" w:h="19296"/>
      <w:pgMar w:top="2268" w:right="1701" w:bottom="226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5EBDF" w14:textId="77777777" w:rsidR="000C1D77" w:rsidRDefault="000C1D77" w:rsidP="00505074">
      <w:r>
        <w:separator/>
      </w:r>
    </w:p>
  </w:endnote>
  <w:endnote w:type="continuationSeparator" w:id="0">
    <w:p w14:paraId="0DB0F3F6" w14:textId="77777777" w:rsidR="000C1D77" w:rsidRDefault="000C1D7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00794"/>
      <w:docPartObj>
        <w:docPartGallery w:val="Page Numbers (Bottom of Page)"/>
        <w:docPartUnique/>
      </w:docPartObj>
    </w:sdtPr>
    <w:sdtContent>
      <w:sdt>
        <w:sdtPr>
          <w:id w:val="-1769616900"/>
          <w:docPartObj>
            <w:docPartGallery w:val="Page Numbers (Top of Page)"/>
            <w:docPartUnique/>
          </w:docPartObj>
        </w:sdtPr>
        <w:sdtContent>
          <w:p w14:paraId="43FC5EEB" w14:textId="73D35652" w:rsidR="007D23B5" w:rsidRDefault="007D23B5">
            <w:pPr>
              <w:pStyle w:val="Piedepgina"/>
              <w:jc w:val="right"/>
            </w:pPr>
            <w:r w:rsidRPr="007D23B5">
              <w:rPr>
                <w:sz w:val="22"/>
                <w:szCs w:val="22"/>
                <w:lang w:val="es-ES"/>
              </w:rPr>
              <w:t xml:space="preserve">Página </w:t>
            </w:r>
            <w:r w:rsidRPr="007D23B5">
              <w:rPr>
                <w:b/>
                <w:bCs/>
                <w:sz w:val="22"/>
                <w:szCs w:val="22"/>
              </w:rPr>
              <w:fldChar w:fldCharType="begin"/>
            </w:r>
            <w:r w:rsidRPr="007D23B5">
              <w:rPr>
                <w:b/>
                <w:bCs/>
                <w:sz w:val="22"/>
                <w:szCs w:val="22"/>
              </w:rPr>
              <w:instrText>PAGE</w:instrText>
            </w:r>
            <w:r w:rsidRPr="007D23B5">
              <w:rPr>
                <w:b/>
                <w:bCs/>
                <w:sz w:val="22"/>
                <w:szCs w:val="22"/>
              </w:rPr>
              <w:fldChar w:fldCharType="separate"/>
            </w:r>
            <w:r w:rsidRPr="007D23B5">
              <w:rPr>
                <w:b/>
                <w:bCs/>
                <w:sz w:val="22"/>
                <w:szCs w:val="22"/>
                <w:lang w:val="es-ES"/>
              </w:rPr>
              <w:t>2</w:t>
            </w:r>
            <w:r w:rsidRPr="007D23B5">
              <w:rPr>
                <w:b/>
                <w:bCs/>
                <w:sz w:val="22"/>
                <w:szCs w:val="22"/>
              </w:rPr>
              <w:fldChar w:fldCharType="end"/>
            </w:r>
            <w:r w:rsidRPr="007D23B5">
              <w:rPr>
                <w:sz w:val="22"/>
                <w:szCs w:val="22"/>
                <w:lang w:val="es-ES"/>
              </w:rPr>
              <w:t xml:space="preserve"> de </w:t>
            </w:r>
            <w:r w:rsidRPr="007D23B5">
              <w:rPr>
                <w:b/>
                <w:bCs/>
                <w:sz w:val="22"/>
                <w:szCs w:val="22"/>
              </w:rPr>
              <w:fldChar w:fldCharType="begin"/>
            </w:r>
            <w:r w:rsidRPr="007D23B5">
              <w:rPr>
                <w:b/>
                <w:bCs/>
                <w:sz w:val="22"/>
                <w:szCs w:val="22"/>
              </w:rPr>
              <w:instrText>NUMPAGES</w:instrText>
            </w:r>
            <w:r w:rsidRPr="007D23B5">
              <w:rPr>
                <w:b/>
                <w:bCs/>
                <w:sz w:val="22"/>
                <w:szCs w:val="22"/>
              </w:rPr>
              <w:fldChar w:fldCharType="separate"/>
            </w:r>
            <w:r w:rsidRPr="007D23B5">
              <w:rPr>
                <w:b/>
                <w:bCs/>
                <w:sz w:val="22"/>
                <w:szCs w:val="22"/>
                <w:lang w:val="es-ES"/>
              </w:rPr>
              <w:t>2</w:t>
            </w:r>
            <w:r w:rsidRPr="007D23B5">
              <w:rPr>
                <w:b/>
                <w:bCs/>
                <w:sz w:val="22"/>
                <w:szCs w:val="22"/>
              </w:rPr>
              <w:fldChar w:fldCharType="end"/>
            </w:r>
          </w:p>
        </w:sdtContent>
      </w:sdt>
    </w:sdtContent>
  </w:sdt>
  <w:p w14:paraId="74952068" w14:textId="77777777" w:rsidR="007D23B5" w:rsidRDefault="007D23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1F46F" w14:textId="77777777" w:rsidR="000C1D77" w:rsidRDefault="000C1D77" w:rsidP="00505074">
      <w:r>
        <w:separator/>
      </w:r>
    </w:p>
  </w:footnote>
  <w:footnote w:type="continuationSeparator" w:id="0">
    <w:p w14:paraId="5FAA205D" w14:textId="77777777" w:rsidR="000C1D77" w:rsidRDefault="000C1D77"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7425" w14:textId="77777777" w:rsidR="00505074" w:rsidRDefault="00F43E2F">
    <w:pPr>
      <w:pStyle w:val="Encabezado"/>
    </w:pPr>
    <w:r>
      <w:rPr>
        <w:noProof/>
        <w:lang w:eastAsia="es-MX"/>
      </w:rPr>
      <w:drawing>
        <wp:anchor distT="0" distB="0" distL="114300" distR="114300" simplePos="0" relativeHeight="251662336" behindDoc="0" locked="0" layoutInCell="1" allowOverlap="1" wp14:anchorId="726B3218" wp14:editId="156DA6AD">
          <wp:simplePos x="0" y="0"/>
          <wp:positionH relativeFrom="column">
            <wp:posOffset>3983</wp:posOffset>
          </wp:positionH>
          <wp:positionV relativeFrom="paragraph">
            <wp:posOffset>-512051</wp:posOffset>
          </wp:positionV>
          <wp:extent cx="5612130" cy="9552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7D62"/>
    <w:multiLevelType w:val="hybridMultilevel"/>
    <w:tmpl w:val="910E4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368FC"/>
    <w:rsid w:val="000C1D77"/>
    <w:rsid w:val="00101F65"/>
    <w:rsid w:val="001041E9"/>
    <w:rsid w:val="001C3A24"/>
    <w:rsid w:val="002C0F8F"/>
    <w:rsid w:val="00320B59"/>
    <w:rsid w:val="003250C8"/>
    <w:rsid w:val="003F7C21"/>
    <w:rsid w:val="004359A1"/>
    <w:rsid w:val="00505074"/>
    <w:rsid w:val="005F0B06"/>
    <w:rsid w:val="007D23B5"/>
    <w:rsid w:val="00880C29"/>
    <w:rsid w:val="008A283F"/>
    <w:rsid w:val="00920943"/>
    <w:rsid w:val="00996577"/>
    <w:rsid w:val="00B00CEC"/>
    <w:rsid w:val="00B37E6F"/>
    <w:rsid w:val="00B663C4"/>
    <w:rsid w:val="00C07082"/>
    <w:rsid w:val="00CD7FA4"/>
    <w:rsid w:val="00D7464A"/>
    <w:rsid w:val="00F10361"/>
    <w:rsid w:val="00F43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8DBA9"/>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0410-4AAA-42E4-88E9-3C05A903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1482</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IAIP_DIR_JURIDICA</cp:lastModifiedBy>
  <cp:revision>4</cp:revision>
  <cp:lastPrinted>2020-12-17T23:11:00Z</cp:lastPrinted>
  <dcterms:created xsi:type="dcterms:W3CDTF">2020-12-17T22:49:00Z</dcterms:created>
  <dcterms:modified xsi:type="dcterms:W3CDTF">2020-12-17T23:15:00Z</dcterms:modified>
</cp:coreProperties>
</file>